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7B0" w:rsidRDefault="006660CC">
      <w:pPr>
        <w:widowControl/>
        <w:shd w:val="clear" w:color="auto" w:fill="FFFFFF"/>
        <w:ind w:firstLineChars="0" w:firstLine="85"/>
        <w:jc w:val="center"/>
        <w:rPr>
          <w:rFonts w:asciiTheme="majorEastAsia" w:eastAsiaTheme="majorEastAsia" w:hAnsiTheme="majorEastAsia" w:cstheme="majorEastAsia"/>
          <w:b/>
          <w:bCs/>
          <w:color w:val="333333"/>
          <w:kern w:val="0"/>
          <w:sz w:val="44"/>
          <w:szCs w:val="44"/>
        </w:rPr>
      </w:pPr>
      <w:r>
        <w:rPr>
          <w:rFonts w:asciiTheme="majorEastAsia" w:eastAsiaTheme="majorEastAsia" w:hAnsiTheme="majorEastAsia" w:cstheme="majorEastAsia" w:hint="eastAsia"/>
          <w:b/>
          <w:bCs/>
          <w:color w:val="333333"/>
          <w:kern w:val="0"/>
          <w:sz w:val="44"/>
          <w:szCs w:val="44"/>
        </w:rPr>
        <w:t>中国银行业监督管理委员会办公厅关于落实案件防控工作有关要求的通知</w:t>
      </w:r>
    </w:p>
    <w:p w:rsidR="004517B0" w:rsidRDefault="006660CC">
      <w:pPr>
        <w:widowControl/>
        <w:shd w:val="clear" w:color="auto" w:fill="FFFFFF"/>
        <w:ind w:firstLineChars="0" w:firstLine="85"/>
        <w:jc w:val="center"/>
        <w:rPr>
          <w:rFonts w:asciiTheme="majorEastAsia" w:eastAsiaTheme="majorEastAsia" w:hAnsiTheme="majorEastAsia" w:cstheme="majorEastAsia"/>
          <w:color w:val="333333"/>
          <w:kern w:val="0"/>
          <w:sz w:val="44"/>
          <w:szCs w:val="44"/>
        </w:rPr>
      </w:pPr>
      <w:r>
        <w:rPr>
          <w:rFonts w:asciiTheme="majorEastAsia" w:eastAsiaTheme="majorEastAsia" w:hAnsiTheme="majorEastAsia" w:cstheme="majorEastAsia" w:hint="eastAsia"/>
          <w:b/>
          <w:bCs/>
          <w:color w:val="333333"/>
          <w:kern w:val="0"/>
          <w:sz w:val="44"/>
          <w:szCs w:val="44"/>
        </w:rPr>
        <w:t>（银监办发</w:t>
      </w:r>
      <w:r>
        <w:rPr>
          <w:rFonts w:asciiTheme="majorEastAsia" w:eastAsiaTheme="majorEastAsia" w:hAnsiTheme="majorEastAsia" w:cstheme="majorEastAsia" w:hint="eastAsia"/>
          <w:b/>
          <w:bCs/>
          <w:color w:val="333333"/>
          <w:kern w:val="0"/>
          <w:sz w:val="44"/>
          <w:szCs w:val="44"/>
        </w:rPr>
        <w:t>[2012]127</w:t>
      </w:r>
      <w:r>
        <w:rPr>
          <w:rFonts w:asciiTheme="majorEastAsia" w:eastAsiaTheme="majorEastAsia" w:hAnsiTheme="majorEastAsia" w:cstheme="majorEastAsia" w:hint="eastAsia"/>
          <w:b/>
          <w:bCs/>
          <w:color w:val="333333"/>
          <w:kern w:val="0"/>
          <w:sz w:val="44"/>
          <w:szCs w:val="44"/>
        </w:rPr>
        <w:t>号）</w:t>
      </w:r>
    </w:p>
    <w:p w:rsidR="004517B0" w:rsidRDefault="006660CC">
      <w:pPr>
        <w:widowControl/>
        <w:ind w:firstLineChars="200" w:firstLine="340"/>
        <w:jc w:val="left"/>
        <w:rPr>
          <w:rFonts w:asciiTheme="minorEastAsia" w:hAnsiTheme="minorEastAsia" w:cstheme="minorEastAsia"/>
          <w:kern w:val="0"/>
          <w:sz w:val="32"/>
          <w:szCs w:val="32"/>
        </w:rPr>
      </w:pPr>
      <w:r>
        <w:rPr>
          <w:rFonts w:ascii="微软雅黑" w:eastAsia="微软雅黑" w:hAnsi="微软雅黑" w:cs="宋体" w:hint="eastAsia"/>
          <w:color w:val="333333"/>
          <w:kern w:val="0"/>
          <w:sz w:val="17"/>
          <w:szCs w:val="17"/>
        </w:rPr>
        <w:br/>
      </w:r>
      <w:r>
        <w:rPr>
          <w:rFonts w:ascii="微软雅黑" w:eastAsia="微软雅黑" w:hAnsi="微软雅黑" w:cs="宋体" w:hint="eastAsia"/>
          <w:color w:val="333333"/>
          <w:kern w:val="0"/>
          <w:sz w:val="17"/>
          <w:szCs w:val="17"/>
        </w:rPr>
        <w:br/>
      </w:r>
      <w:proofErr w:type="gramStart"/>
      <w:r>
        <w:rPr>
          <w:rFonts w:asciiTheme="minorEastAsia" w:hAnsiTheme="minorEastAsia" w:cstheme="minorEastAsia" w:hint="eastAsia"/>
          <w:color w:val="333333"/>
          <w:kern w:val="0"/>
          <w:sz w:val="32"/>
          <w:szCs w:val="32"/>
          <w:shd w:val="clear" w:color="auto" w:fill="FFFFFF"/>
        </w:rPr>
        <w:t>各银监</w:t>
      </w:r>
      <w:proofErr w:type="gramEnd"/>
      <w:r>
        <w:rPr>
          <w:rFonts w:asciiTheme="minorEastAsia" w:hAnsiTheme="minorEastAsia" w:cstheme="minorEastAsia" w:hint="eastAsia"/>
          <w:color w:val="333333"/>
          <w:kern w:val="0"/>
          <w:sz w:val="32"/>
          <w:szCs w:val="32"/>
          <w:shd w:val="clear" w:color="auto" w:fill="FFFFFF"/>
        </w:rPr>
        <w:t>局，各政策性银行、国有商业银行、股份制商业银行、金融资产管理公司，邮政储蓄银行，银监会直接监管的信托公司、企业集团财务公司、金融租赁公司：</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去年下半年以来，银行业金融机构涉及柜台操作的大要案频发。这些案件直接来源于柜台业务及对账等环节的风险暴露，部分银行柜</w:t>
      </w:r>
      <w:proofErr w:type="gramStart"/>
      <w:r>
        <w:rPr>
          <w:rFonts w:asciiTheme="minorEastAsia" w:hAnsiTheme="minorEastAsia" w:cstheme="minorEastAsia" w:hint="eastAsia"/>
          <w:color w:val="333333"/>
          <w:kern w:val="0"/>
          <w:sz w:val="32"/>
          <w:szCs w:val="32"/>
        </w:rPr>
        <w:t>员严重</w:t>
      </w:r>
      <w:proofErr w:type="gramEnd"/>
      <w:r>
        <w:rPr>
          <w:rFonts w:asciiTheme="minorEastAsia" w:hAnsiTheme="minorEastAsia" w:cstheme="minorEastAsia" w:hint="eastAsia"/>
          <w:color w:val="333333"/>
          <w:kern w:val="0"/>
          <w:sz w:val="32"/>
          <w:szCs w:val="32"/>
        </w:rPr>
        <w:t>违规操作，基层营业机构负责人直接授意授权作案，作案方式虽然简单，但具有隐蔽性强、成功率高、作案时间长、涉案金额大等特点。案件由以往的单独作案日趋发展为团伙化、技术化和内外勾结作案。这些案件的发生，反映出银行业金融机构对柜台业务和基层营业机构的制约、控制和管理等基础性工作方面还存在较大差距，银行业金融机构的柜员一旦主动蓄谋作案，会计监督、后台审核及内部稽核等内控防线很难及时发现问题，导致作</w:t>
      </w:r>
      <w:r>
        <w:rPr>
          <w:rFonts w:asciiTheme="minorEastAsia" w:hAnsiTheme="minorEastAsia" w:cstheme="minorEastAsia" w:hint="eastAsia"/>
          <w:color w:val="333333"/>
          <w:kern w:val="0"/>
          <w:sz w:val="32"/>
          <w:szCs w:val="32"/>
        </w:rPr>
        <w:t>案人员多次作案、涉案金额不断扩大从而形成大要案。</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为加强银行业金融机构案件防控基础工作的落实，严格柜台业务操作行为，有效发挥机构内部监督制约力量在案件防控工作中的作用，消除银行员工岗位惰性和</w:t>
      </w:r>
      <w:proofErr w:type="gramStart"/>
      <w:r>
        <w:rPr>
          <w:rFonts w:asciiTheme="minorEastAsia" w:hAnsiTheme="minorEastAsia" w:cstheme="minorEastAsia" w:hint="eastAsia"/>
          <w:color w:val="333333"/>
          <w:kern w:val="0"/>
          <w:sz w:val="32"/>
          <w:szCs w:val="32"/>
        </w:rPr>
        <w:t>不良业务</w:t>
      </w:r>
      <w:proofErr w:type="gramEnd"/>
      <w:r>
        <w:rPr>
          <w:rFonts w:asciiTheme="minorEastAsia" w:hAnsiTheme="minorEastAsia" w:cstheme="minorEastAsia" w:hint="eastAsia"/>
          <w:color w:val="333333"/>
          <w:kern w:val="0"/>
          <w:sz w:val="32"/>
          <w:szCs w:val="32"/>
        </w:rPr>
        <w:t>习惯，提高案件防控工作敏感性，切实遏制案件风险发生，银监会</w:t>
      </w:r>
      <w:r>
        <w:rPr>
          <w:rFonts w:asciiTheme="minorEastAsia" w:hAnsiTheme="minorEastAsia" w:cstheme="minorEastAsia" w:hint="eastAsia"/>
          <w:color w:val="333333"/>
          <w:kern w:val="0"/>
          <w:sz w:val="32"/>
          <w:szCs w:val="32"/>
        </w:rPr>
        <w:lastRenderedPageBreak/>
        <w:t>2012</w:t>
      </w:r>
      <w:r>
        <w:rPr>
          <w:rFonts w:asciiTheme="minorEastAsia" w:hAnsiTheme="minorEastAsia" w:cstheme="minorEastAsia" w:hint="eastAsia"/>
          <w:color w:val="333333"/>
          <w:kern w:val="0"/>
          <w:sz w:val="32"/>
          <w:szCs w:val="32"/>
        </w:rPr>
        <w:t>年在案件防控工作方面重点对轮岗、对账、内审稽核及柜台禁止性行为提出工作要求，以求监管部门的案件防控努力与银行业金融机构内部防范措施的落实形成合力，及时制止案件发生或防止案情进一步蔓延扩大，实现案件风险“打早打小”，切实防范大要案的发生。</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为此，银监</w:t>
      </w:r>
      <w:r>
        <w:rPr>
          <w:rFonts w:asciiTheme="minorEastAsia" w:hAnsiTheme="minorEastAsia" w:cstheme="minorEastAsia" w:hint="eastAsia"/>
          <w:color w:val="333333"/>
          <w:kern w:val="0"/>
          <w:sz w:val="32"/>
          <w:szCs w:val="32"/>
        </w:rPr>
        <w:t>会提出了《关于加强案件防控，落实轮岗、对账及内审有关要求的工作意见》和《严禁柜台违规行为防范案件风险的工作意见》，现印发给你们，请认真贯彻落实。</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proofErr w:type="gramStart"/>
      <w:r>
        <w:rPr>
          <w:rFonts w:asciiTheme="minorEastAsia" w:hAnsiTheme="minorEastAsia" w:cstheme="minorEastAsia" w:hint="eastAsia"/>
          <w:color w:val="333333"/>
          <w:kern w:val="0"/>
          <w:sz w:val="32"/>
          <w:szCs w:val="32"/>
        </w:rPr>
        <w:t>请各银监</w:t>
      </w:r>
      <w:proofErr w:type="gramEnd"/>
      <w:r>
        <w:rPr>
          <w:rFonts w:asciiTheme="minorEastAsia" w:hAnsiTheme="minorEastAsia" w:cstheme="minorEastAsia" w:hint="eastAsia"/>
          <w:color w:val="333333"/>
          <w:kern w:val="0"/>
          <w:sz w:val="32"/>
          <w:szCs w:val="32"/>
        </w:rPr>
        <w:t>局将本通知转发辖内银</w:t>
      </w:r>
      <w:proofErr w:type="gramStart"/>
      <w:r>
        <w:rPr>
          <w:rFonts w:asciiTheme="minorEastAsia" w:hAnsiTheme="minorEastAsia" w:cstheme="minorEastAsia" w:hint="eastAsia"/>
          <w:color w:val="333333"/>
          <w:kern w:val="0"/>
          <w:sz w:val="32"/>
          <w:szCs w:val="32"/>
        </w:rPr>
        <w:t>监分局</w:t>
      </w:r>
      <w:proofErr w:type="gramEnd"/>
      <w:r>
        <w:rPr>
          <w:rFonts w:asciiTheme="minorEastAsia" w:hAnsiTheme="minorEastAsia" w:cstheme="minorEastAsia" w:hint="eastAsia"/>
          <w:color w:val="333333"/>
          <w:kern w:val="0"/>
          <w:sz w:val="32"/>
          <w:szCs w:val="32"/>
        </w:rPr>
        <w:t>和有关银行业金融机构。</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附件：</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．关于加强案件防控，落实轮岗、对账及内</w:t>
      </w:r>
      <w:proofErr w:type="gramStart"/>
      <w:r>
        <w:rPr>
          <w:rFonts w:asciiTheme="minorEastAsia" w:hAnsiTheme="minorEastAsia" w:cstheme="minorEastAsia" w:hint="eastAsia"/>
          <w:color w:val="333333"/>
          <w:kern w:val="0"/>
          <w:sz w:val="32"/>
          <w:szCs w:val="32"/>
        </w:rPr>
        <w:t>审有关</w:t>
      </w:r>
      <w:proofErr w:type="gramEnd"/>
      <w:r>
        <w:rPr>
          <w:rFonts w:asciiTheme="minorEastAsia" w:hAnsiTheme="minorEastAsia" w:cstheme="minorEastAsia" w:hint="eastAsia"/>
          <w:color w:val="333333"/>
          <w:kern w:val="0"/>
          <w:sz w:val="32"/>
          <w:szCs w:val="32"/>
        </w:rPr>
        <w:t>要求的工作意见</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xml:space="preserve">      </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．严禁柜台违规行为防范案件风险的工作意见</w:t>
      </w:r>
    </w:p>
    <w:p w:rsidR="004517B0" w:rsidRDefault="004517B0">
      <w:pPr>
        <w:widowControl/>
        <w:shd w:val="clear" w:color="auto" w:fill="FFFFFF"/>
        <w:ind w:firstLineChars="200" w:firstLine="640"/>
        <w:jc w:val="righ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righ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righ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right"/>
        <w:rPr>
          <w:rFonts w:asciiTheme="minorEastAsia" w:hAnsiTheme="minorEastAsia" w:cstheme="minorEastAsia"/>
          <w:color w:val="333333"/>
          <w:kern w:val="0"/>
          <w:sz w:val="32"/>
          <w:szCs w:val="32"/>
        </w:rPr>
      </w:pPr>
    </w:p>
    <w:p w:rsidR="004517B0" w:rsidRDefault="006660CC">
      <w:pPr>
        <w:widowControl/>
        <w:shd w:val="clear" w:color="auto" w:fill="FFFFFF"/>
        <w:ind w:firstLineChars="200" w:firstLine="640"/>
        <w:jc w:val="righ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二○一二年四月十三日</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附件</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w:t>
      </w: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6660CC">
      <w:pPr>
        <w:widowControl/>
        <w:shd w:val="clear" w:color="auto" w:fill="FFFFFF"/>
        <w:ind w:firstLineChars="200" w:firstLine="640"/>
        <w:jc w:val="center"/>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关于加强案件防控，落实轮岗、对账及内</w:t>
      </w:r>
      <w:proofErr w:type="gramStart"/>
      <w:r>
        <w:rPr>
          <w:rFonts w:asciiTheme="minorEastAsia" w:hAnsiTheme="minorEastAsia" w:cstheme="minorEastAsia" w:hint="eastAsia"/>
          <w:color w:val="333333"/>
          <w:kern w:val="0"/>
          <w:sz w:val="32"/>
          <w:szCs w:val="32"/>
        </w:rPr>
        <w:t>审有关</w:t>
      </w:r>
      <w:proofErr w:type="gramEnd"/>
      <w:r>
        <w:rPr>
          <w:rFonts w:asciiTheme="minorEastAsia" w:hAnsiTheme="minorEastAsia" w:cstheme="minorEastAsia" w:hint="eastAsia"/>
          <w:color w:val="333333"/>
          <w:kern w:val="0"/>
          <w:sz w:val="32"/>
          <w:szCs w:val="32"/>
        </w:rPr>
        <w:t>要求的工作意见</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为切实</w:t>
      </w:r>
      <w:proofErr w:type="gramStart"/>
      <w:r>
        <w:rPr>
          <w:rFonts w:asciiTheme="minorEastAsia" w:hAnsiTheme="minorEastAsia" w:cstheme="minorEastAsia" w:hint="eastAsia"/>
          <w:color w:val="333333"/>
          <w:kern w:val="0"/>
          <w:sz w:val="32"/>
          <w:szCs w:val="32"/>
        </w:rPr>
        <w:t>防范因</w:t>
      </w:r>
      <w:proofErr w:type="gramEnd"/>
      <w:r>
        <w:rPr>
          <w:rFonts w:asciiTheme="minorEastAsia" w:hAnsiTheme="minorEastAsia" w:cstheme="minorEastAsia" w:hint="eastAsia"/>
          <w:color w:val="333333"/>
          <w:kern w:val="0"/>
          <w:sz w:val="32"/>
          <w:szCs w:val="32"/>
        </w:rPr>
        <w:t>柜台操作诱发的案件风险，有效防控案件的发生，按照银监会</w:t>
      </w:r>
      <w:r>
        <w:rPr>
          <w:rFonts w:asciiTheme="minorEastAsia" w:hAnsiTheme="minorEastAsia" w:cstheme="minorEastAsia" w:hint="eastAsia"/>
          <w:color w:val="333333"/>
          <w:kern w:val="0"/>
          <w:sz w:val="32"/>
          <w:szCs w:val="32"/>
        </w:rPr>
        <w:t>2012</w:t>
      </w:r>
      <w:r>
        <w:rPr>
          <w:rFonts w:asciiTheme="minorEastAsia" w:hAnsiTheme="minorEastAsia" w:cstheme="minorEastAsia" w:hint="eastAsia"/>
          <w:color w:val="333333"/>
          <w:kern w:val="0"/>
          <w:sz w:val="32"/>
          <w:szCs w:val="32"/>
        </w:rPr>
        <w:t>年度案件防控工作部署，结合银行业案件的发生特点，根据《商业银行内部控制指引》、《商业银行操作风险管理指引》以及《银行业金融机构内部审计指引》有关内容，现就银行业金融机构（以下简称机构）</w:t>
      </w:r>
      <w:r>
        <w:rPr>
          <w:rFonts w:asciiTheme="minorEastAsia" w:hAnsiTheme="minorEastAsia" w:cstheme="minorEastAsia" w:hint="eastAsia"/>
          <w:color w:val="333333"/>
          <w:kern w:val="0"/>
          <w:sz w:val="32"/>
          <w:szCs w:val="32"/>
        </w:rPr>
        <w:t>2012</w:t>
      </w:r>
      <w:r>
        <w:rPr>
          <w:rFonts w:asciiTheme="minorEastAsia" w:hAnsiTheme="minorEastAsia" w:cstheme="minorEastAsia" w:hint="eastAsia"/>
          <w:color w:val="333333"/>
          <w:kern w:val="0"/>
          <w:sz w:val="32"/>
          <w:szCs w:val="32"/>
        </w:rPr>
        <w:t>年案件防控工作在重要岗位员工轮岗、对账及内部审计三方面提出以下要求，各机构要与现有的监管要求一并严格落实：</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一、重要岗位员工轮岗方面</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各机构要充分认识重要岗位员工轮岗在加强内部控制和防范操作风险、道德风险中发挥的重大作用，要认真组织实施重要岗位员工轮岗工作，并将轮岗工作落实情况列入经营考核之中。</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各机构必须建立重要岗位员工轮岗制度，此制度应作为银行的基本内控制度向监管部门进行报备。各机构根据操作风险和案件风险集中情况及对业务运营、内控管理和风险防范发挥重要作用原则，自行确定重要岗位；机构应在</w:t>
      </w:r>
      <w:r>
        <w:rPr>
          <w:rFonts w:asciiTheme="minorEastAsia" w:hAnsiTheme="minorEastAsia" w:cstheme="minorEastAsia" w:hint="eastAsia"/>
          <w:color w:val="333333"/>
          <w:kern w:val="0"/>
          <w:sz w:val="32"/>
          <w:szCs w:val="32"/>
        </w:rPr>
        <w:lastRenderedPageBreak/>
        <w:t>本机构有关重要岗位员工轮岗制度中对重要岗位、轮岗年限、轮岗方式进行明确和详细规定。</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（二）严格执行有关重要岗位员工轮岗制度。轮岗期限原则上以年度</w:t>
      </w:r>
      <w:r>
        <w:rPr>
          <w:rFonts w:asciiTheme="minorEastAsia" w:hAnsiTheme="minorEastAsia" w:cstheme="minorEastAsia" w:hint="eastAsia"/>
          <w:color w:val="333333"/>
          <w:kern w:val="0"/>
          <w:sz w:val="32"/>
          <w:szCs w:val="32"/>
        </w:rPr>
        <w:t>为限，轮岗率要求</w:t>
      </w:r>
      <w:r>
        <w:rPr>
          <w:rFonts w:asciiTheme="minorEastAsia" w:hAnsiTheme="minorEastAsia" w:cstheme="minorEastAsia" w:hint="eastAsia"/>
          <w:color w:val="333333"/>
          <w:kern w:val="0"/>
          <w:sz w:val="32"/>
          <w:szCs w:val="32"/>
        </w:rPr>
        <w:t>100%</w:t>
      </w:r>
      <w:r>
        <w:rPr>
          <w:rFonts w:asciiTheme="minorEastAsia" w:hAnsiTheme="minorEastAsia" w:cstheme="minorEastAsia" w:hint="eastAsia"/>
          <w:color w:val="333333"/>
          <w:kern w:val="0"/>
          <w:sz w:val="32"/>
          <w:szCs w:val="32"/>
        </w:rPr>
        <w:t>；坚决禁止采用离岗休假、代班检查或离岗审计等方式来代替轮岗制度的落实；严禁以各种理由拖延或不落实执行轮岗制度。</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（三）提高营业机构委派会计（授权经理）的轮岗要求，强化其独立性和权威性。提高委派会计（授权经理）的轮岗频率，轮岗期限最长不超过</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年，轮岗率</w:t>
      </w:r>
      <w:r>
        <w:rPr>
          <w:rFonts w:asciiTheme="minorEastAsia" w:hAnsiTheme="minorEastAsia" w:cstheme="minorEastAsia" w:hint="eastAsia"/>
          <w:color w:val="333333"/>
          <w:kern w:val="0"/>
          <w:sz w:val="32"/>
          <w:szCs w:val="32"/>
        </w:rPr>
        <w:t>100%</w:t>
      </w:r>
      <w:r>
        <w:rPr>
          <w:rFonts w:asciiTheme="minorEastAsia" w:hAnsiTheme="minorEastAsia" w:cstheme="minorEastAsia" w:hint="eastAsia"/>
          <w:color w:val="333333"/>
          <w:kern w:val="0"/>
          <w:sz w:val="32"/>
          <w:szCs w:val="32"/>
        </w:rPr>
        <w:t>。全面落实委派会计（授权经理）在营业机构的业务指导、检查监督、业务授权和审核等职能；切实加强其在内部控制和防范案件风险中关键的权威、独立角色，发挥其对基层行经营权力制约作用；保证其行使正当职责的独立性，确保其日常工作不受</w:t>
      </w:r>
      <w:proofErr w:type="gramStart"/>
      <w:r>
        <w:rPr>
          <w:rFonts w:asciiTheme="minorEastAsia" w:hAnsiTheme="minorEastAsia" w:cstheme="minorEastAsia" w:hint="eastAsia"/>
          <w:color w:val="333333"/>
          <w:kern w:val="0"/>
          <w:sz w:val="32"/>
          <w:szCs w:val="32"/>
        </w:rPr>
        <w:t>基层行长</w:t>
      </w:r>
      <w:proofErr w:type="gramEnd"/>
      <w:r>
        <w:rPr>
          <w:rFonts w:asciiTheme="minorEastAsia" w:hAnsiTheme="minorEastAsia" w:cstheme="minorEastAsia" w:hint="eastAsia"/>
          <w:color w:val="333333"/>
          <w:kern w:val="0"/>
          <w:sz w:val="32"/>
          <w:szCs w:val="32"/>
        </w:rPr>
        <w:t>的</w:t>
      </w:r>
      <w:r>
        <w:rPr>
          <w:rFonts w:asciiTheme="minorEastAsia" w:hAnsiTheme="minorEastAsia" w:cstheme="minorEastAsia" w:hint="eastAsia"/>
          <w:color w:val="333333"/>
          <w:kern w:val="0"/>
          <w:sz w:val="32"/>
          <w:szCs w:val="32"/>
        </w:rPr>
        <w:t>干预和限制。</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四）提高基层营业机构管理层的轮岗要求以强化对其的监督制约。针对机构基层行管理层在岗时间过长、易于形成岗位制约、分权监督效力减弱的环境氛围，导致行政强令、指使、暗示、授意下属越权、违规、违章办理业务和直接干预委派会计主管独立履行职责等现象发生的问题，为减少环境因素导致案件风险发生的可能性，基层营业机构负责人轮岗期限最长不超过</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年，轮岗同时必须实施离任审计。机构</w:t>
      </w:r>
      <w:r>
        <w:rPr>
          <w:rFonts w:asciiTheme="minorEastAsia" w:hAnsiTheme="minorEastAsia" w:cstheme="minorEastAsia" w:hint="eastAsia"/>
          <w:color w:val="333333"/>
          <w:kern w:val="0"/>
          <w:sz w:val="32"/>
          <w:szCs w:val="32"/>
        </w:rPr>
        <w:lastRenderedPageBreak/>
        <w:t>在制订轮岗计划和方案时要注意同一营业机构的委派会计（授权经理）和网点负责人在轮岗时不能同时同向进行。</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（五）</w:t>
      </w:r>
      <w:proofErr w:type="gramStart"/>
      <w:r>
        <w:rPr>
          <w:rFonts w:asciiTheme="minorEastAsia" w:hAnsiTheme="minorEastAsia" w:cstheme="minorEastAsia" w:hint="eastAsia"/>
          <w:color w:val="333333"/>
          <w:kern w:val="0"/>
          <w:sz w:val="32"/>
          <w:szCs w:val="32"/>
        </w:rPr>
        <w:t>加强对柜员</w:t>
      </w:r>
      <w:proofErr w:type="gramEnd"/>
      <w:r>
        <w:rPr>
          <w:rFonts w:asciiTheme="minorEastAsia" w:hAnsiTheme="minorEastAsia" w:cstheme="minorEastAsia" w:hint="eastAsia"/>
          <w:color w:val="333333"/>
          <w:kern w:val="0"/>
          <w:sz w:val="32"/>
          <w:szCs w:val="32"/>
        </w:rPr>
        <w:t>的轮岗工作要求，切</w:t>
      </w:r>
      <w:r>
        <w:rPr>
          <w:rFonts w:asciiTheme="minorEastAsia" w:hAnsiTheme="minorEastAsia" w:cstheme="minorEastAsia" w:hint="eastAsia"/>
          <w:color w:val="333333"/>
          <w:kern w:val="0"/>
          <w:sz w:val="32"/>
          <w:szCs w:val="32"/>
        </w:rPr>
        <w:t>实保证切断风险源头。临柜业务经办人员是柜台类案件防范的第一道、最直接的防线，也是犯罪分子蓄谋突破的主要目标，因此要求各银行必须将柜员列入轮岗范围，明确其轮岗期限和轮岗方式。鉴于各机构柜员的配置、管理各不相同，按一般原则，轮岗期限不超过</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年；要求各机构必须保证采取不限于轮岗、强制休假、收紧授权管理和权限、加强后台或会计系统监督等一系列措施，切实解决柜员操作中缺少事中监督，而形成的案件风险的问题。</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二、对账工作方面</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对账工作是及时发现问题，防止案件风险扩大的有效手段，各机构要充分认识对账工作的重要性，通过制</w:t>
      </w:r>
      <w:r>
        <w:rPr>
          <w:rFonts w:asciiTheme="minorEastAsia" w:hAnsiTheme="minorEastAsia" w:cstheme="minorEastAsia" w:hint="eastAsia"/>
          <w:color w:val="333333"/>
          <w:kern w:val="0"/>
          <w:sz w:val="32"/>
          <w:szCs w:val="32"/>
        </w:rPr>
        <w:t>度保证、科技手段、流程管控、法律约束等多种方式确保对账成功，切实保证客户和银行的资金资产安全；各机构要认真组织实施对账工作，严格执行监管部门账户管理的各项有关规定，将对账工作情况作为经营考核的重要内容，并落实以下有关要求：</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（一）确保对账工作有效落实。各机构要采取多种措施确保对账工作按照制度规范和要求有效落实；切实解决企业</w:t>
      </w:r>
      <w:r>
        <w:rPr>
          <w:rFonts w:asciiTheme="minorEastAsia" w:hAnsiTheme="minorEastAsia" w:cstheme="minorEastAsia" w:hint="eastAsia"/>
          <w:color w:val="333333"/>
          <w:kern w:val="0"/>
          <w:sz w:val="32"/>
          <w:szCs w:val="32"/>
        </w:rPr>
        <w:lastRenderedPageBreak/>
        <w:t>不按时对账、不配合对账或其他原因导致对账工作不能落实的问题，充分发挥对账工作在防范案件风险中的作用。</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（二）提高对账率及对账频率要求。各机构应每季度对对公账户实施对账，且应规定最低有效对</w:t>
      </w:r>
      <w:r>
        <w:rPr>
          <w:rFonts w:asciiTheme="minorEastAsia" w:hAnsiTheme="minorEastAsia" w:cstheme="minorEastAsia" w:hint="eastAsia"/>
          <w:color w:val="333333"/>
          <w:kern w:val="0"/>
          <w:sz w:val="32"/>
          <w:szCs w:val="32"/>
        </w:rPr>
        <w:t>账率，对于不能达标的分支机构，各机构法人要专项督促落实，确保在</w:t>
      </w:r>
      <w:r>
        <w:rPr>
          <w:rFonts w:asciiTheme="minorEastAsia" w:hAnsiTheme="minorEastAsia" w:cstheme="minorEastAsia" w:hint="eastAsia"/>
          <w:color w:val="333333"/>
          <w:kern w:val="0"/>
          <w:sz w:val="32"/>
          <w:szCs w:val="32"/>
        </w:rPr>
        <w:t>2012</w:t>
      </w:r>
      <w:r>
        <w:rPr>
          <w:rFonts w:asciiTheme="minorEastAsia" w:hAnsiTheme="minorEastAsia" w:cstheme="minorEastAsia" w:hint="eastAsia"/>
          <w:color w:val="333333"/>
          <w:kern w:val="0"/>
          <w:sz w:val="32"/>
          <w:szCs w:val="32"/>
        </w:rPr>
        <w:t>年内达标。对于前一个对账期内未能实现有效对账的账户，在下一个对账期内必须实现有效对账，即保证对公账户</w:t>
      </w:r>
      <w:proofErr w:type="gramStart"/>
      <w:r>
        <w:rPr>
          <w:rFonts w:asciiTheme="minorEastAsia" w:hAnsiTheme="minorEastAsia" w:cstheme="minorEastAsia" w:hint="eastAsia"/>
          <w:color w:val="333333"/>
          <w:kern w:val="0"/>
          <w:sz w:val="32"/>
          <w:szCs w:val="32"/>
        </w:rPr>
        <w:t>最少每</w:t>
      </w:r>
      <w:proofErr w:type="gramEnd"/>
      <w:r>
        <w:rPr>
          <w:rFonts w:asciiTheme="minorEastAsia" w:hAnsiTheme="minorEastAsia" w:cstheme="minorEastAsia" w:hint="eastAsia"/>
          <w:color w:val="333333"/>
          <w:kern w:val="0"/>
          <w:sz w:val="32"/>
          <w:szCs w:val="32"/>
        </w:rPr>
        <w:t>半年有效对账一次。对于有效对账后账户内无资金往来、开户后无款项发生或长期不动存款户等，可视风险程度降低对账要求。</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三）加大对重点账户、高风险账户的监控。对风险高的账户要进行重点监控，从对账方式和频率上加强对账力度，主动防范风险。对于值得高度关注的账户，原则上逐月采取上门对账的方式并收取对账回执；对于异动、可疑、高风险账户，要求必须逐</w:t>
      </w:r>
      <w:r>
        <w:rPr>
          <w:rFonts w:asciiTheme="minorEastAsia" w:hAnsiTheme="minorEastAsia" w:cstheme="minorEastAsia" w:hint="eastAsia"/>
          <w:color w:val="333333"/>
          <w:kern w:val="0"/>
          <w:sz w:val="32"/>
          <w:szCs w:val="32"/>
        </w:rPr>
        <w:t>月采取上门对账的方式，核对发生额和余额并收取余额对账回执；出现特殊异常情况或有理由认为涉及案件风险的账户，要采取临时性对账措施，对有关账户的发生额和余额进行全面对账。</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这些账户应是在机构各项日常经营、管理活动中发现存疑，且必须被机构密切关注或监视的，如：</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连续两个对账周期对账失败的账户；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2.</w:t>
      </w:r>
      <w:r>
        <w:rPr>
          <w:rFonts w:asciiTheme="minorEastAsia" w:hAnsiTheme="minorEastAsia" w:cstheme="minorEastAsia" w:hint="eastAsia"/>
          <w:color w:val="333333"/>
          <w:kern w:val="0"/>
          <w:sz w:val="32"/>
          <w:szCs w:val="32"/>
        </w:rPr>
        <w:t>短期内频繁收付的大额存款、</w:t>
      </w:r>
      <w:proofErr w:type="gramStart"/>
      <w:r>
        <w:rPr>
          <w:rFonts w:asciiTheme="minorEastAsia" w:hAnsiTheme="minorEastAsia" w:cstheme="minorEastAsia" w:hint="eastAsia"/>
          <w:color w:val="333333"/>
          <w:kern w:val="0"/>
          <w:sz w:val="32"/>
          <w:szCs w:val="32"/>
        </w:rPr>
        <w:t>整收零付</w:t>
      </w:r>
      <w:proofErr w:type="gramEnd"/>
      <w:r>
        <w:rPr>
          <w:rFonts w:asciiTheme="minorEastAsia" w:hAnsiTheme="minorEastAsia" w:cstheme="minorEastAsia" w:hint="eastAsia"/>
          <w:color w:val="333333"/>
          <w:kern w:val="0"/>
          <w:sz w:val="32"/>
          <w:szCs w:val="32"/>
        </w:rPr>
        <w:t>或</w:t>
      </w:r>
      <w:proofErr w:type="gramStart"/>
      <w:r>
        <w:rPr>
          <w:rFonts w:asciiTheme="minorEastAsia" w:hAnsiTheme="minorEastAsia" w:cstheme="minorEastAsia" w:hint="eastAsia"/>
          <w:color w:val="333333"/>
          <w:kern w:val="0"/>
          <w:sz w:val="32"/>
          <w:szCs w:val="32"/>
        </w:rPr>
        <w:t>零收整付且</w:t>
      </w:r>
      <w:proofErr w:type="gramEnd"/>
      <w:r>
        <w:rPr>
          <w:rFonts w:asciiTheme="minorEastAsia" w:hAnsiTheme="minorEastAsia" w:cstheme="minorEastAsia" w:hint="eastAsia"/>
          <w:color w:val="333333"/>
          <w:kern w:val="0"/>
          <w:sz w:val="32"/>
          <w:szCs w:val="32"/>
        </w:rPr>
        <w:t>金额大致相当的账户；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账户所有者与无业务往来者之间划转大额款项的账户；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4.</w:t>
      </w:r>
      <w:r>
        <w:rPr>
          <w:rFonts w:asciiTheme="minorEastAsia" w:hAnsiTheme="minorEastAsia" w:cstheme="minorEastAsia" w:hint="eastAsia"/>
          <w:color w:val="333333"/>
          <w:kern w:val="0"/>
          <w:sz w:val="32"/>
          <w:szCs w:val="32"/>
        </w:rPr>
        <w:t>未经银行营销主动开立并立即收付大额款项的存款账户；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5.</w:t>
      </w:r>
      <w:r>
        <w:rPr>
          <w:rFonts w:asciiTheme="minorEastAsia" w:hAnsiTheme="minorEastAsia" w:cstheme="minorEastAsia" w:hint="eastAsia"/>
          <w:color w:val="333333"/>
          <w:kern w:val="0"/>
          <w:sz w:val="32"/>
          <w:szCs w:val="32"/>
        </w:rPr>
        <w:t>长期未发生业务又突然发生</w:t>
      </w:r>
      <w:r>
        <w:rPr>
          <w:rFonts w:asciiTheme="minorEastAsia" w:hAnsiTheme="minorEastAsia" w:cstheme="minorEastAsia" w:hint="eastAsia"/>
          <w:color w:val="333333"/>
          <w:kern w:val="0"/>
          <w:sz w:val="32"/>
          <w:szCs w:val="32"/>
        </w:rPr>
        <w:t>大额资金收付的账户；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6.</w:t>
      </w:r>
      <w:r>
        <w:rPr>
          <w:rFonts w:asciiTheme="minorEastAsia" w:hAnsiTheme="minorEastAsia" w:cstheme="minorEastAsia" w:hint="eastAsia"/>
          <w:color w:val="333333"/>
          <w:kern w:val="0"/>
          <w:sz w:val="32"/>
          <w:szCs w:val="32"/>
        </w:rPr>
        <w:t>多次不及时领取对账回单或返回对账回执、对账过程中出现可疑情况的账户；</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7.</w:t>
      </w:r>
      <w:r>
        <w:rPr>
          <w:rFonts w:asciiTheme="minorEastAsia" w:hAnsiTheme="minorEastAsia" w:cstheme="minorEastAsia" w:hint="eastAsia"/>
          <w:color w:val="333333"/>
          <w:kern w:val="0"/>
          <w:sz w:val="32"/>
          <w:szCs w:val="32"/>
        </w:rPr>
        <w:t>其他迹象表明值得密切、立即关注的账户或监管部门要求即时、上门对账的账户。</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150" w:firstLine="48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（四）加强考核指标要求。各机构必须建立客户对账考核制度，综合运用定量加定性指标的方式对对</w:t>
      </w:r>
      <w:proofErr w:type="gramStart"/>
      <w:r>
        <w:rPr>
          <w:rFonts w:asciiTheme="minorEastAsia" w:hAnsiTheme="minorEastAsia" w:cstheme="minorEastAsia" w:hint="eastAsia"/>
          <w:color w:val="333333"/>
          <w:kern w:val="0"/>
          <w:sz w:val="32"/>
          <w:szCs w:val="32"/>
        </w:rPr>
        <w:t>账</w:t>
      </w:r>
      <w:proofErr w:type="gramEnd"/>
      <w:r>
        <w:rPr>
          <w:rFonts w:asciiTheme="minorEastAsia" w:hAnsiTheme="minorEastAsia" w:cstheme="minorEastAsia" w:hint="eastAsia"/>
          <w:color w:val="333333"/>
          <w:kern w:val="0"/>
          <w:sz w:val="32"/>
          <w:szCs w:val="32"/>
        </w:rPr>
        <w:t>工作进行考核；严格要求有效对账回收率（有效对账回收率</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收到有效回执、对账有效的户数</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应对账的户数，其中应对账的户数</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总户数</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本期不应纳入对账考核的户数）。回收的对账回执，客户应加盖开户时在对账协议中约定的确认印鉴，加盖印鉴不符的，在客户有效补签之前，视同无效对账，应予补对。</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（五）强化对账工作的监督检查。各机构负责对账管理的部门应定期就所辖分支机构对账情况进行总结分析，不断改进对账工作，强化各分支机构对账工作执行力度，</w:t>
      </w:r>
      <w:r>
        <w:rPr>
          <w:rFonts w:asciiTheme="minorEastAsia" w:hAnsiTheme="minorEastAsia" w:cstheme="minorEastAsia" w:hint="eastAsia"/>
          <w:color w:val="333333"/>
          <w:kern w:val="0"/>
          <w:sz w:val="32"/>
          <w:szCs w:val="32"/>
        </w:rPr>
        <w:t>提高对账有效性。</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各机构内审稽核部门应将对账工作作为内控制度执行情况的重点事项进行检查，发现未按照规定进行对账或对账中发现问题未及时核对的，要立即督促整改并追究有关人员责任。</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各机构应至少每年组织一次对总、分行对账制度执行情况的现场检查，重点关注对重点账户、异动账户、可疑账户的对账情况并对休眠账户进行清理规范。经办对账工作的人员不得参与本机构的对账工作检查；被查机构人员不得参与上级机构对本机构的对账工作检查。</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三、内审方面</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各机构要规划、制定、实施以防范操作风险及案件风险为导向，以杜绝严重违规行为为重</w:t>
      </w:r>
      <w:r>
        <w:rPr>
          <w:rFonts w:asciiTheme="minorEastAsia" w:hAnsiTheme="minorEastAsia" w:cstheme="minorEastAsia" w:hint="eastAsia"/>
          <w:color w:val="333333"/>
          <w:kern w:val="0"/>
          <w:sz w:val="32"/>
          <w:szCs w:val="32"/>
        </w:rPr>
        <w:t>点，以加强内部控制为核心的审计工作。通过履行内部审计的日常监督和专项监督职能，发挥内部审计在完善内部控制环境、提高操作风险及案件风险评估能力、改善操作风险及案件风险控制措施和手段的作用，增强机构自身案件防控内生动力建设水平。</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w:t>
      </w:r>
      <w:proofErr w:type="gramStart"/>
      <w:r>
        <w:rPr>
          <w:rFonts w:asciiTheme="minorEastAsia" w:hAnsiTheme="minorEastAsia" w:cstheme="minorEastAsia" w:hint="eastAsia"/>
          <w:color w:val="333333"/>
          <w:kern w:val="0"/>
          <w:sz w:val="32"/>
          <w:szCs w:val="32"/>
        </w:rPr>
        <w:t>内审在案件</w:t>
      </w:r>
      <w:proofErr w:type="gramEnd"/>
      <w:r>
        <w:rPr>
          <w:rFonts w:asciiTheme="minorEastAsia" w:hAnsiTheme="minorEastAsia" w:cstheme="minorEastAsia" w:hint="eastAsia"/>
          <w:color w:val="333333"/>
          <w:kern w:val="0"/>
          <w:sz w:val="32"/>
          <w:szCs w:val="32"/>
        </w:rPr>
        <w:t>防控工作中的思路及重心由发现、揭露违法、违规行为和现象向防范操作风险及案件风险，提升内控水平转移。加大审计银行内部控制健全性、合</w:t>
      </w:r>
      <w:proofErr w:type="gramStart"/>
      <w:r>
        <w:rPr>
          <w:rFonts w:asciiTheme="minorEastAsia" w:hAnsiTheme="minorEastAsia" w:cstheme="minorEastAsia" w:hint="eastAsia"/>
          <w:color w:val="333333"/>
          <w:kern w:val="0"/>
          <w:sz w:val="32"/>
          <w:szCs w:val="32"/>
        </w:rPr>
        <w:t>规</w:t>
      </w:r>
      <w:proofErr w:type="gramEnd"/>
      <w:r>
        <w:rPr>
          <w:rFonts w:asciiTheme="minorEastAsia" w:hAnsiTheme="minorEastAsia" w:cstheme="minorEastAsia" w:hint="eastAsia"/>
          <w:color w:val="333333"/>
          <w:kern w:val="0"/>
          <w:sz w:val="32"/>
          <w:szCs w:val="32"/>
        </w:rPr>
        <w:t>性和有效性的力度，切实发挥</w:t>
      </w:r>
      <w:proofErr w:type="gramStart"/>
      <w:r>
        <w:rPr>
          <w:rFonts w:asciiTheme="minorEastAsia" w:hAnsiTheme="minorEastAsia" w:cstheme="minorEastAsia" w:hint="eastAsia"/>
          <w:color w:val="333333"/>
          <w:kern w:val="0"/>
          <w:sz w:val="32"/>
          <w:szCs w:val="32"/>
        </w:rPr>
        <w:t>内审在监督</w:t>
      </w:r>
      <w:proofErr w:type="gramEnd"/>
      <w:r>
        <w:rPr>
          <w:rFonts w:asciiTheme="minorEastAsia" w:hAnsiTheme="minorEastAsia" w:cstheme="minorEastAsia" w:hint="eastAsia"/>
          <w:color w:val="333333"/>
          <w:kern w:val="0"/>
          <w:sz w:val="32"/>
          <w:szCs w:val="32"/>
        </w:rPr>
        <w:t>及规范业务操作和业务管理、防范案件风险、加强内部管控、提升机构案件防控内生动力建设水平等方面的重要作用</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二）将案件风险作为一项重要内容纳入各营业机构每年的风险评估。定期检查评估营业机构的操作风险及案件风险管理体系的运作情况，监督管理政策、监管要求的落实情况，重点对高风险网点、高风险业务、高风险环节、高风险岗位的操作规范和业务程序进行评估，并以此为基础加大以上“四高”的审计力度、频度和深度；及时向董事会和监管部门报告情况。</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（三）确保机构的操作风险和案件风险状况符合案件风险的年度监管重点要求。将银监</w:t>
      </w:r>
      <w:proofErr w:type="gramStart"/>
      <w:r>
        <w:rPr>
          <w:rFonts w:asciiTheme="minorEastAsia" w:hAnsiTheme="minorEastAsia" w:cstheme="minorEastAsia" w:hint="eastAsia"/>
          <w:color w:val="333333"/>
          <w:kern w:val="0"/>
          <w:sz w:val="32"/>
          <w:szCs w:val="32"/>
        </w:rPr>
        <w:t>会案件</w:t>
      </w:r>
      <w:proofErr w:type="gramEnd"/>
      <w:r>
        <w:rPr>
          <w:rFonts w:asciiTheme="minorEastAsia" w:hAnsiTheme="minorEastAsia" w:cstheme="minorEastAsia" w:hint="eastAsia"/>
          <w:color w:val="333333"/>
          <w:kern w:val="0"/>
          <w:sz w:val="32"/>
          <w:szCs w:val="32"/>
        </w:rPr>
        <w:t>防控的工作要求、防范操作风险</w:t>
      </w:r>
      <w:r>
        <w:rPr>
          <w:rFonts w:asciiTheme="minorEastAsia" w:hAnsiTheme="minorEastAsia" w:cstheme="minorEastAsia" w:hint="eastAsia"/>
          <w:color w:val="333333"/>
          <w:kern w:val="0"/>
          <w:sz w:val="32"/>
          <w:szCs w:val="32"/>
        </w:rPr>
        <w:t>13</w:t>
      </w:r>
      <w:r>
        <w:rPr>
          <w:rFonts w:asciiTheme="minorEastAsia" w:hAnsiTheme="minorEastAsia" w:cstheme="minorEastAsia" w:hint="eastAsia"/>
          <w:color w:val="333333"/>
          <w:kern w:val="0"/>
          <w:sz w:val="32"/>
          <w:szCs w:val="32"/>
        </w:rPr>
        <w:t>条等内容作为落实年度内部审计工作重点、制定内部审计计划的重要内容，确</w:t>
      </w:r>
      <w:r>
        <w:rPr>
          <w:rFonts w:asciiTheme="minorEastAsia" w:hAnsiTheme="minorEastAsia" w:cstheme="minorEastAsia" w:hint="eastAsia"/>
          <w:color w:val="333333"/>
          <w:kern w:val="0"/>
          <w:sz w:val="32"/>
          <w:szCs w:val="32"/>
        </w:rPr>
        <w:t>保年内完成将内部控制和案件风险作为重要审计项目的审计活动，重点监督重要岗位员工轮岗执行、综合柜</w:t>
      </w:r>
      <w:proofErr w:type="gramStart"/>
      <w:r>
        <w:rPr>
          <w:rFonts w:asciiTheme="minorEastAsia" w:hAnsiTheme="minorEastAsia" w:cstheme="minorEastAsia" w:hint="eastAsia"/>
          <w:color w:val="333333"/>
          <w:kern w:val="0"/>
          <w:sz w:val="32"/>
          <w:szCs w:val="32"/>
        </w:rPr>
        <w:t>员岗风险管</w:t>
      </w:r>
      <w:proofErr w:type="gramEnd"/>
      <w:r>
        <w:rPr>
          <w:rFonts w:asciiTheme="minorEastAsia" w:hAnsiTheme="minorEastAsia" w:cstheme="minorEastAsia" w:hint="eastAsia"/>
          <w:color w:val="333333"/>
          <w:kern w:val="0"/>
          <w:sz w:val="32"/>
          <w:szCs w:val="32"/>
        </w:rPr>
        <w:t>控、对账工作要求落实、严禁违规操作等监管要求的落实情况，审计覆盖面原则上不低于全部营业机构的</w:t>
      </w:r>
      <w:r>
        <w:rPr>
          <w:rFonts w:asciiTheme="minorEastAsia" w:hAnsiTheme="minorEastAsia" w:cstheme="minorEastAsia" w:hint="eastAsia"/>
          <w:color w:val="333333"/>
          <w:kern w:val="0"/>
          <w:sz w:val="32"/>
          <w:szCs w:val="32"/>
        </w:rPr>
        <w:t>1/3</w:t>
      </w:r>
      <w:r>
        <w:rPr>
          <w:rFonts w:asciiTheme="minorEastAsia" w:hAnsiTheme="minorEastAsia" w:cstheme="minorEastAsia" w:hint="eastAsia"/>
          <w:color w:val="333333"/>
          <w:kern w:val="0"/>
          <w:sz w:val="32"/>
          <w:szCs w:val="32"/>
        </w:rPr>
        <w:t>，被审计机构的选取由各银行结合实际风险状况自定。</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四）将案件风险的审计作为一项重要风险融入信贷业务审计、会计业务审计、重要岗位人员履职审计、出纳业务审计以及其他日常监督活动中。加强信贷业务中客户准入控制、贷款企业或项目真实性、审贷行为合</w:t>
      </w:r>
      <w:proofErr w:type="gramStart"/>
      <w:r>
        <w:rPr>
          <w:rFonts w:asciiTheme="minorEastAsia" w:hAnsiTheme="minorEastAsia" w:cstheme="minorEastAsia" w:hint="eastAsia"/>
          <w:color w:val="333333"/>
          <w:kern w:val="0"/>
          <w:sz w:val="32"/>
          <w:szCs w:val="32"/>
        </w:rPr>
        <w:t>规</w:t>
      </w:r>
      <w:proofErr w:type="gramEnd"/>
      <w:r>
        <w:rPr>
          <w:rFonts w:asciiTheme="minorEastAsia" w:hAnsiTheme="minorEastAsia" w:cstheme="minorEastAsia" w:hint="eastAsia"/>
          <w:color w:val="333333"/>
          <w:kern w:val="0"/>
          <w:sz w:val="32"/>
          <w:szCs w:val="32"/>
        </w:rPr>
        <w:t>性的审查，积极预防和控制宏观经济环境下骗贷行为引发的案件风险；加强银企</w:t>
      </w:r>
      <w:r>
        <w:rPr>
          <w:rFonts w:asciiTheme="minorEastAsia" w:hAnsiTheme="minorEastAsia" w:cstheme="minorEastAsia" w:hint="eastAsia"/>
          <w:color w:val="333333"/>
          <w:kern w:val="0"/>
          <w:sz w:val="32"/>
          <w:szCs w:val="32"/>
        </w:rPr>
        <w:t>对账、柜台人员业务操作、重要岗位管控、不相容岗位</w:t>
      </w:r>
      <w:r>
        <w:rPr>
          <w:rFonts w:asciiTheme="minorEastAsia" w:hAnsiTheme="minorEastAsia" w:cstheme="minorEastAsia" w:hint="eastAsia"/>
          <w:color w:val="333333"/>
          <w:kern w:val="0"/>
          <w:sz w:val="32"/>
          <w:szCs w:val="32"/>
        </w:rPr>
        <w:lastRenderedPageBreak/>
        <w:t>兼职、分层授权等高风险、易发风险环节的监督检查，遏制近期柜台类案件高发的局面；加强对“高风险”人员排查监督，严格员工行为失</w:t>
      </w:r>
      <w:proofErr w:type="gramStart"/>
      <w:r>
        <w:rPr>
          <w:rFonts w:asciiTheme="minorEastAsia" w:hAnsiTheme="minorEastAsia" w:cstheme="minorEastAsia" w:hint="eastAsia"/>
          <w:color w:val="333333"/>
          <w:kern w:val="0"/>
          <w:sz w:val="32"/>
          <w:szCs w:val="32"/>
        </w:rPr>
        <w:t>范</w:t>
      </w:r>
      <w:proofErr w:type="gramEnd"/>
      <w:r>
        <w:rPr>
          <w:rFonts w:asciiTheme="minorEastAsia" w:hAnsiTheme="minorEastAsia" w:cstheme="minorEastAsia" w:hint="eastAsia"/>
          <w:color w:val="333333"/>
          <w:kern w:val="0"/>
          <w:sz w:val="32"/>
          <w:szCs w:val="32"/>
        </w:rPr>
        <w:t>监察力度，密切关注存在不正常行为或不正常经济活动工作人员，尤其是重要岗位工作人员，防范非法集资风险向银行转移。</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五）对发现的风险或问题督促及时整改。对在有关操作风险和案件风险的审计活动中发现的风险和问题，负责审计部门应督促和监督有关部门及时落实整改，视情况实施必要的后续评价；对于整改不力或整改不到位的，应根据有关问</w:t>
      </w:r>
      <w:proofErr w:type="gramStart"/>
      <w:r>
        <w:rPr>
          <w:rFonts w:asciiTheme="minorEastAsia" w:hAnsiTheme="minorEastAsia" w:cstheme="minorEastAsia" w:hint="eastAsia"/>
          <w:color w:val="333333"/>
          <w:kern w:val="0"/>
          <w:sz w:val="32"/>
          <w:szCs w:val="32"/>
        </w:rPr>
        <w:t>责制度</w:t>
      </w:r>
      <w:proofErr w:type="gramEnd"/>
      <w:r>
        <w:rPr>
          <w:rFonts w:asciiTheme="minorEastAsia" w:hAnsiTheme="minorEastAsia" w:cstheme="minorEastAsia" w:hint="eastAsia"/>
          <w:color w:val="333333"/>
          <w:kern w:val="0"/>
          <w:sz w:val="32"/>
          <w:szCs w:val="32"/>
        </w:rPr>
        <w:t>追究相关责任人</w:t>
      </w:r>
      <w:r>
        <w:rPr>
          <w:rFonts w:asciiTheme="minorEastAsia" w:hAnsiTheme="minorEastAsia" w:cstheme="minorEastAsia" w:hint="eastAsia"/>
          <w:color w:val="333333"/>
          <w:kern w:val="0"/>
          <w:sz w:val="32"/>
          <w:szCs w:val="32"/>
        </w:rPr>
        <w:t>责任；对发现的重大风险和问题向董事会报告后但仍未得到整改或整改不到位的，应及时直接向监管部门报告。</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（六）加强与监管部门的交流。审计部门要及时向监管部门报告年度开展案件防控有关审计工作的计划、实施报告及总结、审计过程中发现的重大问题和风险等内容。</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各监管机构要对以上各项工作要求采取必要措施，切实督促各机构落实有关工作要求。对于不</w:t>
      </w:r>
      <w:proofErr w:type="gramStart"/>
      <w:r>
        <w:rPr>
          <w:rFonts w:asciiTheme="minorEastAsia" w:hAnsiTheme="minorEastAsia" w:cstheme="minorEastAsia" w:hint="eastAsia"/>
          <w:color w:val="333333"/>
          <w:kern w:val="0"/>
          <w:sz w:val="32"/>
          <w:szCs w:val="32"/>
        </w:rPr>
        <w:t>落实案防</w:t>
      </w:r>
      <w:proofErr w:type="gramEnd"/>
      <w:r>
        <w:rPr>
          <w:rFonts w:asciiTheme="minorEastAsia" w:hAnsiTheme="minorEastAsia" w:cstheme="minorEastAsia" w:hint="eastAsia"/>
          <w:color w:val="333333"/>
          <w:kern w:val="0"/>
          <w:sz w:val="32"/>
          <w:szCs w:val="32"/>
        </w:rPr>
        <w:t>监管工作要求和执行不到位导致案件发生的银行业金融机构，监管部门在案件责任追究时要加重处罚。</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附件</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w:t>
      </w:r>
    </w:p>
    <w:p w:rsidR="004517B0" w:rsidRDefault="004517B0">
      <w:pPr>
        <w:widowControl/>
        <w:shd w:val="clear" w:color="auto" w:fill="FFFFFF"/>
        <w:ind w:firstLineChars="200" w:firstLine="640"/>
        <w:jc w:val="left"/>
        <w:rPr>
          <w:rFonts w:asciiTheme="minorEastAsia" w:hAnsiTheme="minorEastAsia" w:cstheme="minorEastAsia"/>
          <w:color w:val="333333"/>
          <w:kern w:val="0"/>
          <w:sz w:val="32"/>
          <w:szCs w:val="32"/>
        </w:rPr>
      </w:pPr>
    </w:p>
    <w:p w:rsidR="004517B0" w:rsidRDefault="006660CC">
      <w:pPr>
        <w:widowControl/>
        <w:shd w:val="clear" w:color="auto" w:fill="FFFFFF"/>
        <w:ind w:firstLineChars="200" w:firstLine="640"/>
        <w:jc w:val="center"/>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严禁柜台违规行为防范案件风险的工作意见</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2011</w:t>
      </w:r>
      <w:r>
        <w:rPr>
          <w:rFonts w:asciiTheme="minorEastAsia" w:hAnsiTheme="minorEastAsia" w:cstheme="minorEastAsia" w:hint="eastAsia"/>
          <w:color w:val="333333"/>
          <w:kern w:val="0"/>
          <w:sz w:val="32"/>
          <w:szCs w:val="32"/>
        </w:rPr>
        <w:t>年，银行</w:t>
      </w:r>
      <w:r>
        <w:rPr>
          <w:rFonts w:asciiTheme="minorEastAsia" w:hAnsiTheme="minorEastAsia" w:cstheme="minorEastAsia" w:hint="eastAsia"/>
          <w:color w:val="333333"/>
          <w:kern w:val="0"/>
          <w:sz w:val="32"/>
          <w:szCs w:val="32"/>
        </w:rPr>
        <w:t>业金融机构（以下简称银行机构）柜台业务操作环节发生多起重大恶性案件，涉案金额数以亿计，造成巨额资金损失，形成重大声誉风险。此类案件作案手段简单却屡屡得逞，反映出银行机构柜员管理和柜台业务操作控制存在重大问题，柜台业务操作风险已成为银行业案件频发的高危区域。为</w:t>
      </w:r>
      <w:proofErr w:type="gramStart"/>
      <w:r>
        <w:rPr>
          <w:rFonts w:asciiTheme="minorEastAsia" w:hAnsiTheme="minorEastAsia" w:cstheme="minorEastAsia" w:hint="eastAsia"/>
          <w:color w:val="333333"/>
          <w:kern w:val="0"/>
          <w:sz w:val="32"/>
          <w:szCs w:val="32"/>
        </w:rPr>
        <w:t>遏制因柜员</w:t>
      </w:r>
      <w:proofErr w:type="gramEnd"/>
      <w:r>
        <w:rPr>
          <w:rFonts w:asciiTheme="minorEastAsia" w:hAnsiTheme="minorEastAsia" w:cstheme="minorEastAsia" w:hint="eastAsia"/>
          <w:color w:val="333333"/>
          <w:kern w:val="0"/>
          <w:sz w:val="32"/>
          <w:szCs w:val="32"/>
        </w:rPr>
        <w:t>违规操作引发的重大恶性案件风险，对柜台业务操作特提出以下意见：</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一、各银行机构要加强柜台业务的风险控制，强化柜员和授权人员的合</w:t>
      </w:r>
      <w:proofErr w:type="gramStart"/>
      <w:r>
        <w:rPr>
          <w:rFonts w:asciiTheme="minorEastAsia" w:hAnsiTheme="minorEastAsia" w:cstheme="minorEastAsia" w:hint="eastAsia"/>
          <w:color w:val="333333"/>
          <w:kern w:val="0"/>
          <w:sz w:val="32"/>
          <w:szCs w:val="32"/>
        </w:rPr>
        <w:t>规</w:t>
      </w:r>
      <w:proofErr w:type="gramEnd"/>
      <w:r>
        <w:rPr>
          <w:rFonts w:asciiTheme="minorEastAsia" w:hAnsiTheme="minorEastAsia" w:cstheme="minorEastAsia" w:hint="eastAsia"/>
          <w:color w:val="333333"/>
          <w:kern w:val="0"/>
          <w:sz w:val="32"/>
          <w:szCs w:val="32"/>
        </w:rPr>
        <w:t>操作，严禁以下行为的发生。</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（一）柜员卡使用方面，不得存在以下行为：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复制、盗用、超权持有操作卡、授权卡、密码（或口令等）；</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将个人名章、操作卡、授权卡、密码（或口令等）交他人使用，或使用他人个人名章、操作卡、授权卡、密码（或口令等）办理业务。</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（二）重要物品保管、使用方面，不得存在以下行为：违反领用、登记、交接、作废和销毁制度将本人保管的业务印章、有价单证、重要空白凭证等重要物品交给他人保管、使用。</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（三）办理具体柜台业务方面，不得存在以下行为：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柜员办理本人业务；</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不按规定核对预留印鉴或支付密钥办理业务；</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代客户签名、设置</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重置</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输入密码；</w:t>
      </w:r>
      <w:r>
        <w:rPr>
          <w:rFonts w:asciiTheme="minorEastAsia" w:hAnsiTheme="minorEastAsia" w:cstheme="minorEastAsia" w:hint="eastAsia"/>
          <w:color w:val="333333"/>
          <w:kern w:val="0"/>
          <w:sz w:val="32"/>
          <w:szCs w:val="32"/>
        </w:rPr>
        <w:t>4.</w:t>
      </w:r>
      <w:r>
        <w:rPr>
          <w:rFonts w:asciiTheme="minorEastAsia" w:hAnsiTheme="minorEastAsia" w:cstheme="minorEastAsia" w:hint="eastAsia"/>
          <w:color w:val="333333"/>
          <w:kern w:val="0"/>
          <w:sz w:val="32"/>
          <w:szCs w:val="32"/>
        </w:rPr>
        <w:t>代客户申请、购买、签收、保管重要空白凭证和支付设备（如网银</w:t>
      </w:r>
      <w:r>
        <w:rPr>
          <w:rFonts w:asciiTheme="minorEastAsia" w:hAnsiTheme="minorEastAsia" w:cstheme="minorEastAsia" w:hint="eastAsia"/>
          <w:color w:val="333333"/>
          <w:kern w:val="0"/>
          <w:sz w:val="32"/>
          <w:szCs w:val="32"/>
        </w:rPr>
        <w:t>U</w:t>
      </w:r>
      <w:r>
        <w:rPr>
          <w:rFonts w:asciiTheme="minorEastAsia" w:hAnsiTheme="minorEastAsia" w:cstheme="minorEastAsia" w:hint="eastAsia"/>
          <w:color w:val="333333"/>
          <w:kern w:val="0"/>
          <w:sz w:val="32"/>
          <w:szCs w:val="32"/>
        </w:rPr>
        <w:t>盾或令牌、密码信封、支付密码器等）；</w:t>
      </w:r>
      <w:r>
        <w:rPr>
          <w:rFonts w:asciiTheme="minorEastAsia" w:hAnsiTheme="minorEastAsia" w:cstheme="minorEastAsia" w:hint="eastAsia"/>
          <w:color w:val="333333"/>
          <w:kern w:val="0"/>
          <w:sz w:val="32"/>
          <w:szCs w:val="32"/>
        </w:rPr>
        <w:t>5.</w:t>
      </w:r>
      <w:r>
        <w:rPr>
          <w:rFonts w:asciiTheme="minorEastAsia" w:hAnsiTheme="minorEastAsia" w:cstheme="minorEastAsia" w:hint="eastAsia"/>
          <w:color w:val="333333"/>
          <w:kern w:val="0"/>
          <w:sz w:val="32"/>
          <w:szCs w:val="32"/>
        </w:rPr>
        <w:t>代客户保管客户存单、卡、折、有价单证、票据、印鉴卡、身份证件等重要物品；</w:t>
      </w:r>
      <w:r>
        <w:rPr>
          <w:rFonts w:asciiTheme="minorEastAsia" w:hAnsiTheme="minorEastAsia" w:cstheme="minorEastAsia" w:hint="eastAsia"/>
          <w:color w:val="333333"/>
          <w:kern w:val="0"/>
          <w:sz w:val="32"/>
          <w:szCs w:val="32"/>
        </w:rPr>
        <w:t>6.</w:t>
      </w:r>
      <w:r>
        <w:rPr>
          <w:rFonts w:asciiTheme="minorEastAsia" w:hAnsiTheme="minorEastAsia" w:cstheme="minorEastAsia" w:hint="eastAsia"/>
          <w:color w:val="333333"/>
          <w:kern w:val="0"/>
          <w:sz w:val="32"/>
          <w:szCs w:val="32"/>
        </w:rPr>
        <w:t>代客户申请、启用、操作网上银行、手机银行、电话银行业务；</w:t>
      </w:r>
      <w:r>
        <w:rPr>
          <w:rFonts w:asciiTheme="minorEastAsia" w:hAnsiTheme="minorEastAsia" w:cstheme="minorEastAsia" w:hint="eastAsia"/>
          <w:color w:val="333333"/>
          <w:kern w:val="0"/>
          <w:sz w:val="32"/>
          <w:szCs w:val="32"/>
        </w:rPr>
        <w:t>7.</w:t>
      </w:r>
      <w:r>
        <w:rPr>
          <w:rFonts w:asciiTheme="minorEastAsia" w:hAnsiTheme="minorEastAsia" w:cstheme="minorEastAsia" w:hint="eastAsia"/>
          <w:color w:val="333333"/>
          <w:kern w:val="0"/>
          <w:sz w:val="32"/>
          <w:szCs w:val="32"/>
        </w:rPr>
        <w:t>委派会计（授权经理）对网点负责人干预授权工作不抵制，</w:t>
      </w:r>
      <w:proofErr w:type="gramStart"/>
      <w:r>
        <w:rPr>
          <w:rFonts w:asciiTheme="minorEastAsia" w:hAnsiTheme="minorEastAsia" w:cstheme="minorEastAsia" w:hint="eastAsia"/>
          <w:color w:val="333333"/>
          <w:kern w:val="0"/>
          <w:sz w:val="32"/>
          <w:szCs w:val="32"/>
        </w:rPr>
        <w:t>或对柜员</w:t>
      </w:r>
      <w:proofErr w:type="gramEnd"/>
      <w:r>
        <w:rPr>
          <w:rFonts w:asciiTheme="minorEastAsia" w:hAnsiTheme="minorEastAsia" w:cstheme="minorEastAsia" w:hint="eastAsia"/>
          <w:color w:val="333333"/>
          <w:kern w:val="0"/>
          <w:sz w:val="32"/>
          <w:szCs w:val="32"/>
        </w:rPr>
        <w:t>违规操作行为不制止、不纠正，或授意、指使、强令柜台人员违规操作</w:t>
      </w:r>
      <w:r>
        <w:rPr>
          <w:rFonts w:asciiTheme="minorEastAsia" w:hAnsiTheme="minorEastAsia" w:cstheme="minorEastAsia" w:hint="eastAsia"/>
          <w:color w:val="333333"/>
          <w:kern w:val="0"/>
          <w:sz w:val="32"/>
          <w:szCs w:val="32"/>
        </w:rPr>
        <w:t>；</w:t>
      </w:r>
      <w:r>
        <w:rPr>
          <w:rFonts w:asciiTheme="minorEastAsia" w:hAnsiTheme="minorEastAsia" w:cstheme="minorEastAsia" w:hint="eastAsia"/>
          <w:color w:val="333333"/>
          <w:kern w:val="0"/>
          <w:sz w:val="32"/>
          <w:szCs w:val="32"/>
        </w:rPr>
        <w:t>8.</w:t>
      </w:r>
      <w:r>
        <w:rPr>
          <w:rFonts w:asciiTheme="minorEastAsia" w:hAnsiTheme="minorEastAsia" w:cstheme="minorEastAsia" w:hint="eastAsia"/>
          <w:color w:val="333333"/>
          <w:kern w:val="0"/>
          <w:sz w:val="32"/>
          <w:szCs w:val="32"/>
        </w:rPr>
        <w:t>柜员对明知是违规办理的业务不抵制、不报告。</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（四）办理开户、变更、挂失等业务方面，不得存在以下行为：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受理企业账户开户、更换或挂失补办印鉴、法定代表人变更时，不核对企业证明文件原件，不核查单位法定代表人、授权经办人身份；</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受理个人账户开户（卡）申请或</w:t>
      </w:r>
      <w:proofErr w:type="gramStart"/>
      <w:r>
        <w:rPr>
          <w:rFonts w:asciiTheme="minorEastAsia" w:hAnsiTheme="minorEastAsia" w:cstheme="minorEastAsia" w:hint="eastAsia"/>
          <w:color w:val="333333"/>
          <w:kern w:val="0"/>
          <w:sz w:val="32"/>
          <w:szCs w:val="32"/>
        </w:rPr>
        <w:t>开通网银</w:t>
      </w:r>
      <w:proofErr w:type="gramEnd"/>
      <w:r>
        <w:rPr>
          <w:rFonts w:asciiTheme="minorEastAsia" w:hAnsiTheme="minorEastAsia" w:cstheme="minorEastAsia" w:hint="eastAsia"/>
          <w:color w:val="333333"/>
          <w:kern w:val="0"/>
          <w:sz w:val="32"/>
          <w:szCs w:val="32"/>
        </w:rPr>
        <w:t>时，不按规定核实申请人意愿和身份信息。</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（五）银行账户管理方面，不得存在以下行为：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获取客户密码，泄露、擅自修改客户信息；</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利用客户账户过渡本人资金；</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通过本人、他人账户归集、过渡银行和客户资金、套取资金；</w:t>
      </w:r>
      <w:r>
        <w:rPr>
          <w:rFonts w:asciiTheme="minorEastAsia" w:hAnsiTheme="minorEastAsia" w:cstheme="minorEastAsia" w:hint="eastAsia"/>
          <w:color w:val="333333"/>
          <w:kern w:val="0"/>
          <w:sz w:val="32"/>
          <w:szCs w:val="32"/>
        </w:rPr>
        <w:t>4.</w:t>
      </w:r>
      <w:r>
        <w:rPr>
          <w:rFonts w:asciiTheme="minorEastAsia" w:hAnsiTheme="minorEastAsia" w:cstheme="minorEastAsia" w:hint="eastAsia"/>
          <w:color w:val="333333"/>
          <w:kern w:val="0"/>
          <w:sz w:val="32"/>
          <w:szCs w:val="32"/>
        </w:rPr>
        <w:t>违规使用内部账户为客户办理</w:t>
      </w:r>
      <w:r>
        <w:rPr>
          <w:rFonts w:asciiTheme="minorEastAsia" w:hAnsiTheme="minorEastAsia" w:cstheme="minorEastAsia" w:hint="eastAsia"/>
          <w:color w:val="333333"/>
          <w:kern w:val="0"/>
          <w:sz w:val="32"/>
          <w:szCs w:val="32"/>
        </w:rPr>
        <w:t>支付结算业务；</w:t>
      </w:r>
      <w:r>
        <w:rPr>
          <w:rFonts w:asciiTheme="minorEastAsia" w:hAnsiTheme="minorEastAsia" w:cstheme="minorEastAsia" w:hint="eastAsia"/>
          <w:color w:val="333333"/>
          <w:kern w:val="0"/>
          <w:sz w:val="32"/>
          <w:szCs w:val="32"/>
        </w:rPr>
        <w:t>5.</w:t>
      </w:r>
      <w:r>
        <w:rPr>
          <w:rFonts w:asciiTheme="minorEastAsia" w:hAnsiTheme="minorEastAsia" w:cstheme="minorEastAsia" w:hint="eastAsia"/>
          <w:color w:val="333333"/>
          <w:kern w:val="0"/>
          <w:sz w:val="32"/>
          <w:szCs w:val="32"/>
        </w:rPr>
        <w:t>空存、</w:t>
      </w:r>
      <w:proofErr w:type="gramStart"/>
      <w:r>
        <w:rPr>
          <w:rFonts w:asciiTheme="minorEastAsia" w:hAnsiTheme="minorEastAsia" w:cstheme="minorEastAsia" w:hint="eastAsia"/>
          <w:color w:val="333333"/>
          <w:kern w:val="0"/>
          <w:sz w:val="32"/>
          <w:szCs w:val="32"/>
        </w:rPr>
        <w:t>空取资金</w:t>
      </w:r>
      <w:proofErr w:type="gramEnd"/>
      <w:r>
        <w:rPr>
          <w:rFonts w:asciiTheme="minorEastAsia" w:hAnsiTheme="minorEastAsia" w:cstheme="minorEastAsia" w:hint="eastAsia"/>
          <w:color w:val="333333"/>
          <w:kern w:val="0"/>
          <w:sz w:val="32"/>
          <w:szCs w:val="32"/>
        </w:rPr>
        <w:t>。</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（六）业务授权方面，不得存在以下行为：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不确认客户真实意愿授权；</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不审核凭证授权；</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不核实业务授权；</w:t>
      </w:r>
      <w:r>
        <w:rPr>
          <w:rFonts w:asciiTheme="minorEastAsia" w:hAnsiTheme="minorEastAsia" w:cstheme="minorEastAsia" w:hint="eastAsia"/>
          <w:color w:val="333333"/>
          <w:kern w:val="0"/>
          <w:sz w:val="32"/>
          <w:szCs w:val="32"/>
        </w:rPr>
        <w:t>4.</w:t>
      </w:r>
      <w:r>
        <w:rPr>
          <w:rFonts w:asciiTheme="minorEastAsia" w:hAnsiTheme="minorEastAsia" w:cstheme="minorEastAsia" w:hint="eastAsia"/>
          <w:color w:val="333333"/>
          <w:kern w:val="0"/>
          <w:sz w:val="32"/>
          <w:szCs w:val="32"/>
        </w:rPr>
        <w:t>超权限授权。</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（七）对账方面，不得存在以下行为：</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制度规定不允许参与对账的人员参与对账；</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不按规定审核对账回执；</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不按规定处理存在问题的对账回执。</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（八）授信方面，不得采取以下手段套取银行信用：</w:t>
      </w:r>
      <w:r>
        <w:rPr>
          <w:rFonts w:asciiTheme="minorEastAsia" w:hAnsiTheme="minorEastAsia" w:cstheme="minorEastAsia" w:hint="eastAsia"/>
          <w:color w:val="333333"/>
          <w:kern w:val="0"/>
          <w:sz w:val="32"/>
          <w:szCs w:val="32"/>
        </w:rPr>
        <w:t>1.</w:t>
      </w:r>
      <w:r>
        <w:rPr>
          <w:rFonts w:asciiTheme="minorEastAsia" w:hAnsiTheme="minorEastAsia" w:cstheme="minorEastAsia" w:hint="eastAsia"/>
          <w:color w:val="333333"/>
          <w:kern w:val="0"/>
          <w:sz w:val="32"/>
          <w:szCs w:val="32"/>
        </w:rPr>
        <w:t>利用职务之便为本人或关系人获取银行信用；</w:t>
      </w:r>
      <w:r>
        <w:rPr>
          <w:rFonts w:asciiTheme="minorEastAsia" w:hAnsiTheme="minorEastAsia" w:cstheme="minorEastAsia" w:hint="eastAsia"/>
          <w:color w:val="333333"/>
          <w:kern w:val="0"/>
          <w:sz w:val="32"/>
          <w:szCs w:val="32"/>
        </w:rPr>
        <w:t>2.</w:t>
      </w:r>
      <w:r>
        <w:rPr>
          <w:rFonts w:asciiTheme="minorEastAsia" w:hAnsiTheme="minorEastAsia" w:cstheme="minorEastAsia" w:hint="eastAsia"/>
          <w:color w:val="333333"/>
          <w:kern w:val="0"/>
          <w:sz w:val="32"/>
          <w:szCs w:val="32"/>
        </w:rPr>
        <w:t>使用或串通客户使用虚假资料获取银行信用；</w:t>
      </w:r>
      <w:r>
        <w:rPr>
          <w:rFonts w:asciiTheme="minorEastAsia" w:hAnsiTheme="minorEastAsia" w:cstheme="minorEastAsia" w:hint="eastAsia"/>
          <w:color w:val="333333"/>
          <w:kern w:val="0"/>
          <w:sz w:val="32"/>
          <w:szCs w:val="32"/>
        </w:rPr>
        <w:t>3.</w:t>
      </w:r>
      <w:r>
        <w:rPr>
          <w:rFonts w:asciiTheme="minorEastAsia" w:hAnsiTheme="minorEastAsia" w:cstheme="minorEastAsia" w:hint="eastAsia"/>
          <w:color w:val="333333"/>
          <w:kern w:val="0"/>
          <w:sz w:val="32"/>
          <w:szCs w:val="32"/>
        </w:rPr>
        <w:t>违规出具信用证或其他保函、票据、存单等。</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二、凡发生上述违规行为，各级</w:t>
      </w:r>
      <w:r>
        <w:rPr>
          <w:rFonts w:asciiTheme="minorEastAsia" w:hAnsiTheme="minorEastAsia" w:cstheme="minorEastAsia" w:hint="eastAsia"/>
          <w:color w:val="333333"/>
          <w:kern w:val="0"/>
          <w:sz w:val="32"/>
          <w:szCs w:val="32"/>
        </w:rPr>
        <w:t>监管机构和银行机构要对有关机构和人员严厉处罚：</w:t>
      </w: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（一）各银行机构在检查中发现银行员工存在以上违规行为的，违规操作人员须立即离岗，依据银行机构内部违规处罚规定，按该行为处罚高限进行处罚，同时对违规操作的机构采取有效措施进行整改。</w:t>
      </w:r>
      <w:bookmarkStart w:id="0" w:name="_GoBack"/>
      <w:bookmarkEnd w:id="0"/>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二）各级监管机构或有关部门在检查中发现银行员工存在以上违规行为的，对违规操作人员按照上述要求处理的同时，要对有关管理人员问责，并追究上级机构的管理责任。监管机构可视违规情况对存在违规操作的机构采取暂停新业务准入等严厉手段，督促违规机构限期整改。</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lastRenderedPageBreak/>
        <w:t>（三）因上述违规行为引发银行</w:t>
      </w:r>
      <w:r>
        <w:rPr>
          <w:rFonts w:asciiTheme="minorEastAsia" w:hAnsiTheme="minorEastAsia" w:cstheme="minorEastAsia" w:hint="eastAsia"/>
          <w:color w:val="333333"/>
          <w:kern w:val="0"/>
          <w:sz w:val="32"/>
          <w:szCs w:val="32"/>
        </w:rPr>
        <w:t>业案件的，应按照案件问</w:t>
      </w:r>
      <w:proofErr w:type="gramStart"/>
      <w:r>
        <w:rPr>
          <w:rFonts w:asciiTheme="minorEastAsia" w:hAnsiTheme="minorEastAsia" w:cstheme="minorEastAsia" w:hint="eastAsia"/>
          <w:color w:val="333333"/>
          <w:kern w:val="0"/>
          <w:sz w:val="32"/>
          <w:szCs w:val="32"/>
        </w:rPr>
        <w:t>责办法</w:t>
      </w:r>
      <w:proofErr w:type="gramEnd"/>
      <w:r>
        <w:rPr>
          <w:rFonts w:asciiTheme="minorEastAsia" w:hAnsiTheme="minorEastAsia" w:cstheme="minorEastAsia" w:hint="eastAsia"/>
          <w:color w:val="333333"/>
          <w:kern w:val="0"/>
          <w:sz w:val="32"/>
          <w:szCs w:val="32"/>
        </w:rPr>
        <w:t>对违规操作人员、有关管理人员、高管人员及机构严肃问责，并从重或加重处罚。</w:t>
      </w:r>
    </w:p>
    <w:p w:rsidR="004517B0" w:rsidRDefault="006660CC">
      <w:pPr>
        <w:widowControl/>
        <w:shd w:val="clear" w:color="auto" w:fill="FFFFFF"/>
        <w:ind w:firstLineChars="200" w:firstLine="640"/>
        <w:jc w:val="left"/>
        <w:rPr>
          <w:rFonts w:asciiTheme="minorEastAsia" w:hAnsiTheme="minorEastAsia" w:cstheme="minorEastAsia"/>
          <w:color w:val="333333"/>
          <w:kern w:val="0"/>
          <w:sz w:val="32"/>
          <w:szCs w:val="32"/>
        </w:rPr>
      </w:pPr>
      <w:r>
        <w:rPr>
          <w:rFonts w:asciiTheme="minorEastAsia" w:hAnsiTheme="minorEastAsia" w:cstheme="minorEastAsia" w:hint="eastAsia"/>
          <w:color w:val="333333"/>
          <w:kern w:val="0"/>
          <w:sz w:val="32"/>
          <w:szCs w:val="32"/>
        </w:rPr>
        <w:t> </w:t>
      </w:r>
    </w:p>
    <w:p w:rsidR="004517B0" w:rsidRDefault="004517B0">
      <w:pPr>
        <w:ind w:firstLineChars="200" w:firstLine="640"/>
        <w:rPr>
          <w:rFonts w:asciiTheme="minorEastAsia" w:hAnsiTheme="minorEastAsia" w:cstheme="minorEastAsia"/>
          <w:sz w:val="32"/>
          <w:szCs w:val="32"/>
        </w:rPr>
      </w:pPr>
    </w:p>
    <w:sectPr w:rsidR="004517B0" w:rsidSect="004517B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0CC" w:rsidRDefault="006660CC" w:rsidP="006660CC">
      <w:pPr>
        <w:ind w:firstLine="105"/>
      </w:pPr>
      <w:r>
        <w:separator/>
      </w:r>
    </w:p>
  </w:endnote>
  <w:endnote w:type="continuationSeparator" w:id="0">
    <w:p w:rsidR="006660CC" w:rsidRDefault="006660CC" w:rsidP="006660CC">
      <w:pPr>
        <w:ind w:firstLine="105"/>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6"/>
      <w:ind w:firstLine="9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6"/>
      <w:ind w:firstLine="9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6"/>
      <w:ind w:firstLine="9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0CC" w:rsidRDefault="006660CC" w:rsidP="006660CC">
      <w:pPr>
        <w:ind w:firstLine="105"/>
      </w:pPr>
      <w:r>
        <w:separator/>
      </w:r>
    </w:p>
  </w:footnote>
  <w:footnote w:type="continuationSeparator" w:id="0">
    <w:p w:rsidR="006660CC" w:rsidRDefault="006660CC" w:rsidP="006660CC">
      <w:pPr>
        <w:ind w:firstLine="105"/>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5"/>
      <w:ind w:firstLine="9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5"/>
      <w:ind w:firstLine="9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60CC" w:rsidRDefault="006660CC" w:rsidP="006660CC">
    <w:pPr>
      <w:pStyle w:val="a5"/>
      <w:ind w:firstLine="9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398A"/>
    <w:rsid w:val="0018398A"/>
    <w:rsid w:val="004517B0"/>
    <w:rsid w:val="006660CC"/>
    <w:rsid w:val="009940AD"/>
    <w:rsid w:val="00A44825"/>
    <w:rsid w:val="00FC0C16"/>
    <w:rsid w:val="0FB410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7B0"/>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17B0"/>
    <w:pPr>
      <w:widowControl/>
      <w:spacing w:before="100" w:beforeAutospacing="1" w:after="100" w:afterAutospacing="1"/>
      <w:ind w:firstLineChars="0" w:firstLine="0"/>
      <w:jc w:val="left"/>
    </w:pPr>
    <w:rPr>
      <w:rFonts w:ascii="宋体" w:eastAsia="宋体" w:hAnsi="宋体" w:cs="宋体"/>
      <w:kern w:val="0"/>
      <w:sz w:val="24"/>
      <w:szCs w:val="24"/>
    </w:rPr>
  </w:style>
  <w:style w:type="character" w:styleId="a4">
    <w:name w:val="Strong"/>
    <w:basedOn w:val="a0"/>
    <w:uiPriority w:val="22"/>
    <w:qFormat/>
    <w:rsid w:val="004517B0"/>
    <w:rPr>
      <w:b/>
      <w:bCs/>
    </w:rPr>
  </w:style>
  <w:style w:type="paragraph" w:styleId="a5">
    <w:name w:val="header"/>
    <w:basedOn w:val="a"/>
    <w:link w:val="Char"/>
    <w:uiPriority w:val="99"/>
    <w:semiHidden/>
    <w:unhideWhenUsed/>
    <w:rsid w:val="006660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6660CC"/>
    <w:rPr>
      <w:kern w:val="2"/>
      <w:sz w:val="18"/>
      <w:szCs w:val="18"/>
    </w:rPr>
  </w:style>
  <w:style w:type="paragraph" w:styleId="a6">
    <w:name w:val="footer"/>
    <w:basedOn w:val="a"/>
    <w:link w:val="Char0"/>
    <w:uiPriority w:val="99"/>
    <w:semiHidden/>
    <w:unhideWhenUsed/>
    <w:rsid w:val="006660CC"/>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6660C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927</Words>
  <Characters>5287</Characters>
  <Application>Microsoft Office Word</Application>
  <DocSecurity>0</DocSecurity>
  <Lines>44</Lines>
  <Paragraphs>12</Paragraphs>
  <ScaleCrop>false</ScaleCrop>
  <Company>微软中国</Company>
  <LinksUpToDate>false</LinksUpToDate>
  <CharactersWithSpaces>6202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2020-08-24T05:13:00Z</dcterms:created>
  <dcterms:modified xsi:type="dcterms:W3CDTF">2020-08-25T07:11:00Z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